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15670" w14:textId="77777777" w:rsidR="00982B09" w:rsidRDefault="00982B09" w:rsidP="00982B09">
      <w:pPr>
        <w:jc w:val="right"/>
      </w:pPr>
    </w:p>
    <w:p w14:paraId="19FDB0A6" w14:textId="494DAA97"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14:paraId="12E4401B" w14:textId="08A0BFA9" w:rsidR="00982B09" w:rsidRDefault="001B016A" w:rsidP="001B016A">
      <w:pPr>
        <w:jc w:val="center"/>
        <w:rPr>
          <w:rFonts w:ascii="Tahoma" w:hAnsi="Tahoma" w:cs="Tahoma"/>
        </w:rPr>
      </w:pPr>
      <w:r w:rsidRPr="001B016A">
        <w:rPr>
          <w:rFonts w:ascii="Tahoma" w:hAnsi="Tahoma" w:cs="Tahoma"/>
        </w:rPr>
        <w:t>На выполнение работ по установке, замене и наладке интеллектуальных приборов учета электрической энергии и трансформаторов тока в 2024г. для нужд Владимирского филиала АО «ЭнергосбыТ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3612"/>
        <w:gridCol w:w="5788"/>
      </w:tblGrid>
      <w:tr w:rsidR="00982B09" w:rsidRPr="00982B09" w14:paraId="16AD72D9" w14:textId="77777777" w:rsidTr="00982B09">
        <w:tc>
          <w:tcPr>
            <w:tcW w:w="518" w:type="dxa"/>
          </w:tcPr>
          <w:p w14:paraId="597C13E3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612" w:type="dxa"/>
          </w:tcPr>
          <w:p w14:paraId="0813E1A1" w14:textId="77777777"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7DC3A21F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</w:tcPr>
          <w:p w14:paraId="552F67C9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14:paraId="1E389B1C" w14:textId="77777777" w:rsidTr="00982B09">
        <w:tc>
          <w:tcPr>
            <w:tcW w:w="518" w:type="dxa"/>
          </w:tcPr>
          <w:p w14:paraId="171BA6BB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12" w:type="dxa"/>
          </w:tcPr>
          <w:p w14:paraId="1AD81ABE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88" w:type="dxa"/>
          </w:tcPr>
          <w:p w14:paraId="6F86B773" w14:textId="1388735D" w:rsidR="00982B09" w:rsidRPr="00982B09" w:rsidRDefault="001B016A" w:rsidP="00982B0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Выполнение работ по  установке, замене и наладке интеллектуальных приборов учёта электрической энергии (далее ПУ ИСУ) и трансформаторов тока (далее ТТ)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982B09" w:rsidRPr="00982B09" w14:paraId="466C217B" w14:textId="77777777" w:rsidTr="00982B09">
        <w:tc>
          <w:tcPr>
            <w:tcW w:w="518" w:type="dxa"/>
          </w:tcPr>
          <w:p w14:paraId="7CA33D09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612" w:type="dxa"/>
          </w:tcPr>
          <w:p w14:paraId="1D69877F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Место </w:t>
            </w:r>
            <w:r>
              <w:rPr>
                <w:rFonts w:ascii="Tahoma" w:hAnsi="Tahoma" w:cs="Tahoma"/>
                <w:sz w:val="20"/>
                <w:szCs w:val="20"/>
              </w:rPr>
              <w:t>выполнения работ</w:t>
            </w:r>
          </w:p>
        </w:tc>
        <w:tc>
          <w:tcPr>
            <w:tcW w:w="5788" w:type="dxa"/>
          </w:tcPr>
          <w:p w14:paraId="64B9C94B" w14:textId="479822E5" w:rsidR="00982B09" w:rsidRPr="00982B09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Многоквартирные дома (далее МКД) находящиеся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982B09" w:rsidRPr="00982B09" w14:paraId="2077B184" w14:textId="77777777" w:rsidTr="00982B09">
        <w:tc>
          <w:tcPr>
            <w:tcW w:w="518" w:type="dxa"/>
          </w:tcPr>
          <w:p w14:paraId="3D4D405A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12" w:type="dxa"/>
          </w:tcPr>
          <w:p w14:paraId="57AAA046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выполнения работ</w:t>
            </w:r>
          </w:p>
        </w:tc>
        <w:tc>
          <w:tcPr>
            <w:tcW w:w="5788" w:type="dxa"/>
          </w:tcPr>
          <w:p w14:paraId="56019642" w14:textId="77777777" w:rsidR="001B016A" w:rsidRPr="001B016A" w:rsidRDefault="001B016A" w:rsidP="001B016A">
            <w:pPr>
              <w:spacing w:after="200" w:line="276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B016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15EE40B0" w14:textId="77777777" w:rsidR="001B016A" w:rsidRPr="001B016A" w:rsidRDefault="001B016A" w:rsidP="001B016A">
            <w:pPr>
              <w:spacing w:after="200" w:line="276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B016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70346A30" w14:textId="77777777" w:rsidR="001B016A" w:rsidRPr="001B016A" w:rsidRDefault="001B016A" w:rsidP="001B016A">
            <w:pPr>
              <w:spacing w:after="200" w:line="276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B016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25DAB3DE" w14:textId="77777777" w:rsidR="001B016A" w:rsidRPr="001B016A" w:rsidRDefault="001B016A" w:rsidP="001B016A">
            <w:pPr>
              <w:spacing w:after="200" w:line="276" w:lineRule="auto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B016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«31» декабря 2024г.</w:t>
            </w:r>
          </w:p>
          <w:p w14:paraId="7DC8EEA2" w14:textId="52330C03" w:rsidR="00982B09" w:rsidRPr="00982B09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982B09" w:rsidRPr="00982B09" w14:paraId="61ACDAE4" w14:textId="77777777" w:rsidTr="00982B09">
        <w:tc>
          <w:tcPr>
            <w:tcW w:w="518" w:type="dxa"/>
          </w:tcPr>
          <w:p w14:paraId="2AE1E7C0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12" w:type="dxa"/>
          </w:tcPr>
          <w:p w14:paraId="37847F93" w14:textId="77777777"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</w:t>
            </w:r>
            <w:r>
              <w:rPr>
                <w:rFonts w:ascii="Tahoma" w:hAnsi="Tahoma" w:cs="Tahoma"/>
                <w:sz w:val="20"/>
                <w:szCs w:val="20"/>
              </w:rPr>
              <w:t>и 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работ</w:t>
            </w:r>
          </w:p>
          <w:p w14:paraId="711F0789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</w:tcPr>
          <w:p w14:paraId="637A020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(Приложение 3 к Техническому заданию).</w:t>
            </w:r>
          </w:p>
          <w:p w14:paraId="5AABD819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0D8E1AF7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Sim-карт и пломбировочной продукции (пломба-наклейка);</w:t>
            </w:r>
          </w:p>
          <w:p w14:paraId="1FAD2E14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строя.</w:t>
            </w:r>
          </w:p>
          <w:p w14:paraId="51CD7F8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r w:rsidRPr="001B016A">
              <w:rPr>
                <w:rFonts w:ascii="Tahoma" w:hAnsi="Tahoma" w:cs="Tahoma"/>
                <w:sz w:val="20"/>
                <w:szCs w:val="20"/>
              </w:rPr>
              <w:lastRenderedPageBreak/>
              <w:t>фотофиксацию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такой объект в графике производства работ.</w:t>
            </w:r>
          </w:p>
          <w:p w14:paraId="53A1EB6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 по договору, проводить вне рабочей зоны и доставлять к зоне работ транспортом Подрядчика, готовыми к применению для выполнения работ по договору;</w:t>
            </w:r>
          </w:p>
          <w:p w14:paraId="05CFCED2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103DF4F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33EB03FE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5A04E876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14:paraId="0956D1C2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14:paraId="62B9BF9D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0AF8D676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14:paraId="074819FA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74194CA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099DC144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040BFC16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5AD29C2D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5CBE4F6D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</w:t>
            </w:r>
            <w:r w:rsidRPr="001B016A">
              <w:rPr>
                <w:rFonts w:ascii="Tahoma" w:hAnsi="Tahoma" w:cs="Tahoma"/>
                <w:sz w:val="20"/>
                <w:szCs w:val="20"/>
              </w:rPr>
              <w:lastRenderedPageBreak/>
              <w:t>персонала должен быть завизирован Подрядчиком и поставлена печать Подрядчика).</w:t>
            </w:r>
          </w:p>
          <w:p w14:paraId="4E710A81" w14:textId="0BF9E3B7" w:rsidR="00982B09" w:rsidRPr="00982B09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982B09" w:rsidRPr="00982B09" w14:paraId="3C5587D6" w14:textId="77777777" w:rsidTr="00982B09">
        <w:tc>
          <w:tcPr>
            <w:tcW w:w="518" w:type="dxa"/>
          </w:tcPr>
          <w:p w14:paraId="3F564979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12" w:type="dxa"/>
          </w:tcPr>
          <w:p w14:paraId="6C4D8F54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Требования к порядку </w:t>
            </w:r>
            <w:r>
              <w:rPr>
                <w:rFonts w:ascii="Tahoma" w:hAnsi="Tahoma" w:cs="Tahoma"/>
                <w:sz w:val="20"/>
                <w:szCs w:val="20"/>
              </w:rPr>
              <w:t>выполнения работ</w:t>
            </w:r>
          </w:p>
        </w:tc>
        <w:tc>
          <w:tcPr>
            <w:tcW w:w="5788" w:type="dxa"/>
          </w:tcPr>
          <w:p w14:paraId="20830566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5D72D34C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в приложении Заказчика (Мобильный контролер), создать маршрутные листы для сотрудников, выполняющих работы по замене приборов учета электрической энергии;</w:t>
            </w:r>
          </w:p>
          <w:p w14:paraId="1921021F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</w:t>
            </w:r>
          </w:p>
          <w:p w14:paraId="225B2E3D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14:paraId="1F099EDF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14:paraId="4F209A24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Заказчик передает 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энергии, Sim-карты и пломбировочную продукцию (пломбу-наклейку) необходимые для выполнения Работ. Передача интеллектуальных приборов учета электрической энергии и пломбировочную продукцию, необходимые для выполнения Работ, осуществляется по адресу: г. Владимир, ул. Батурина, д.30</w:t>
            </w:r>
          </w:p>
          <w:p w14:paraId="30C63BB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По окончании работ по настоящему Договору интеллектуальные приборы учета электрической энергии и пломбировочную продукцию,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</w:t>
            </w:r>
            <w:r w:rsidRPr="001B016A">
              <w:rPr>
                <w:rFonts w:ascii="Tahoma" w:hAnsi="Tahoma" w:cs="Tahoma"/>
                <w:sz w:val="20"/>
                <w:szCs w:val="20"/>
              </w:rPr>
              <w:lastRenderedPageBreak/>
              <w:t>(Акт о выявленных дефектах оборудования по форме № ОС-16 утвержден Постановлением Госкомстата России от 21.01.2003 №7).</w:t>
            </w:r>
          </w:p>
          <w:p w14:paraId="3FED666C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Перед монтажом ПУ ИСУ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117F04A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50E1E563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0529F0B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35037517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 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60AFD56F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</w:t>
            </w:r>
            <w:r w:rsidRPr="001B016A">
              <w:rPr>
                <w:rFonts w:ascii="Tahoma" w:hAnsi="Tahoma" w:cs="Tahoma"/>
                <w:sz w:val="20"/>
                <w:szCs w:val="20"/>
              </w:rPr>
              <w:lastRenderedPageBreak/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549BFA9C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 Подрядчик после завершения работ по замене, установке прибора учета электрической энергии, ТТ обязан произвести инструментальную проверку работоспособности установленного ПУ ИСУ, ТТ с фиксацией измерений в измерительных цепях в акте ввода в эксплуатацию.</w:t>
            </w:r>
          </w:p>
          <w:p w14:paraId="7EEA131A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При установке, замене 3-х фазных ПУ и ТТ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контролер), доступ к которому предоставляет Заказчик.</w:t>
            </w:r>
          </w:p>
          <w:p w14:paraId="74EBC3E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При установке, замене 1-ф ПУ оформления акта осуществляется через модуль Заказчика (Мобильный контролер) без необходимости составления акта на бумажном носителе. Полный объем данных по установленным ПУ ИСУ должен быть внесен в приложение в день выполнения работ.</w:t>
            </w:r>
          </w:p>
          <w:p w14:paraId="13C67D43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Номера ПУ и SIM-карт необходимо вносить путем сканирования штрих-кодов с целью избежания ошибок.</w:t>
            </w:r>
          </w:p>
          <w:p w14:paraId="40C023D2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262AF6C6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5949C858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7E97BD9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14:paraId="1E506F92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-На предмет корректности настроек приборов учета.</w:t>
            </w:r>
          </w:p>
          <w:p w14:paraId="0ED4EC50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ИСУ. </w:t>
            </w:r>
          </w:p>
          <w:p w14:paraId="197A7C5A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SIM-карты,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0B01408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14:paraId="4A14EE28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При оформлении на бумажном носителе Подрядчик от имени Заказчика заполняет Акты ввода в эксплуатацию приборов учета электрической энергии в двух экземплярах </w:t>
            </w:r>
            <w:r w:rsidRPr="001B016A">
              <w:rPr>
                <w:rFonts w:ascii="Tahoma" w:hAnsi="Tahoma" w:cs="Tahoma"/>
                <w:sz w:val="20"/>
                <w:szCs w:val="20"/>
              </w:rPr>
              <w:lastRenderedPageBreak/>
              <w:t>и подписывает акты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либо направлен почтой.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контролер, информация должна быть внесена в приложение в день выполнения работ, а также в Заявку на выполнение работ.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14:paraId="2001451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Факт выполнения работ признается по данным, занесенным в акты со статусом «подписано» в модуле Заказчика - Мобильный контролер</w:t>
            </w:r>
          </w:p>
          <w:p w14:paraId="6BC3F438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 адресе объекта и информация об установке или снятии (Пример – «г Владимир ул Мира д 59 кв 125 установлен» или «г Владимир ул Мира д 59 кв 125 снят»). Фото предоставляются Заказчику в составе приемо-сдаточной документации разделенные по каталогам в разрезе дат установок/замен.</w:t>
            </w:r>
          </w:p>
          <w:p w14:paraId="577CEE0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14:paraId="6EC42263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14:paraId="7568115E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</w:t>
            </w:r>
            <w:r w:rsidRPr="001B016A">
              <w:rPr>
                <w:rFonts w:ascii="Tahoma" w:hAnsi="Tahoma" w:cs="Tahoma"/>
                <w:sz w:val="20"/>
                <w:szCs w:val="20"/>
              </w:rPr>
              <w:lastRenderedPageBreak/>
              <w:t>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14:paraId="346F4872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2C3B1CA6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72C6E0F9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52B19409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0189068C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00CCE43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4F5B7356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14:paraId="0264846C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SIM-карты,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6538C3C0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 «Межгосударственный стандарт. Трансформаторы тока. Общие технические условия».</w:t>
            </w:r>
          </w:p>
          <w:p w14:paraId="4DBA9683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0A2CF07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Межповерочный интервал трансформаторов тока не менее 4 лет.</w:t>
            </w:r>
          </w:p>
          <w:p w14:paraId="7910D226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155AF75D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 </w:t>
            </w:r>
          </w:p>
          <w:p w14:paraId="5DD0727D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Трансформаторы устойчивы к воздействию внешних механических факторов для группы механического исполнения М2 ГОСТ 30631-99 «Межгосударственный стандарт. Общие требования к машинам, приборам и другим техническим изделиям в части стойкости к механическим внешним воздействующим факторам при эксплуатации». Исполнение трансформаторов по условиям установки на месте работы, допускают установку в пространстве в любом положении. Контактные зажимы </w:t>
            </w:r>
            <w:r w:rsidRPr="001B016A">
              <w:rPr>
                <w:rFonts w:ascii="Tahoma" w:hAnsi="Tahoma" w:cs="Tahoma"/>
                <w:sz w:val="20"/>
                <w:szCs w:val="20"/>
              </w:rPr>
              <w:lastRenderedPageBreak/>
              <w:t>вторичной обмотки закрыты прозрачной пластмассовой крышкой, с возможностью опломбирования.</w:t>
            </w:r>
          </w:p>
          <w:p w14:paraId="20C51F19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4546B4F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449901A8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3CE15E07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2CE0FDC6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4E74567E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Приборы учета устанавливаются:</w:t>
            </w:r>
          </w:p>
          <w:p w14:paraId="6026F723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в этажных щитах;</w:t>
            </w:r>
          </w:p>
          <w:p w14:paraId="51E3F1F9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30C6CBC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в выносных шкафах учёта (боксах) по согласованию с Заказчиком.</w:t>
            </w:r>
          </w:p>
          <w:p w14:paraId="55836CF9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F87FB3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Монтаж всех вновь устанавливаемых ПУ ИСУ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3147B77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14:paraId="2755337B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(IEC 60529:2013) «Межгосударственный стандарт. Степени защиты, обеспечиваемые оболочками (Код IP)» в антивандальном исполнении.</w:t>
            </w:r>
          </w:p>
          <w:p w14:paraId="0AA4CFD3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 xml:space="preserve"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</w:t>
            </w:r>
            <w:r w:rsidRPr="001B016A">
              <w:rPr>
                <w:rFonts w:ascii="Tahoma" w:hAnsi="Tahoma" w:cs="Tahoma"/>
                <w:sz w:val="20"/>
                <w:szCs w:val="20"/>
              </w:rPr>
              <w:lastRenderedPageBreak/>
              <w:t>устройством для опломбирования. Трансформаторы тока должны быть установлены во всех трех фазах.</w:t>
            </w:r>
          </w:p>
          <w:p w14:paraId="6FC598D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0A8512A7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2E293A1B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76808AB0" w14:textId="7EA6E270" w:rsidR="00982B09" w:rsidRPr="00982B09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982B09" w:rsidRPr="00982B09" w14:paraId="7B0C4A55" w14:textId="77777777" w:rsidTr="00982B09">
        <w:tc>
          <w:tcPr>
            <w:tcW w:w="518" w:type="dxa"/>
          </w:tcPr>
          <w:p w14:paraId="3848E6FF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12" w:type="dxa"/>
          </w:tcPr>
          <w:p w14:paraId="5FD29EB3" w14:textId="09042626" w:rsidR="00982B09" w:rsidRPr="00982B09" w:rsidRDefault="00982B09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eastAsia="Calibri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88" w:type="dxa"/>
          </w:tcPr>
          <w:p w14:paraId="1E5B7684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Владимирской обл. (Письмо Минстроя России от 29.11.2022 г. №63817-ИФ/09  прил.1  4 кв.2022).</w:t>
            </w:r>
          </w:p>
          <w:p w14:paraId="2E1F1F9B" w14:textId="35DE7B13" w:rsidR="00982B09" w:rsidRPr="00982B09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4.1.</w:t>
            </w:r>
            <w:r w:rsidRPr="001B016A">
              <w:rPr>
                <w:rFonts w:ascii="Tahoma" w:hAnsi="Tahoma" w:cs="Tahoma"/>
                <w:sz w:val="20"/>
                <w:szCs w:val="20"/>
              </w:rPr>
              <w:tab/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№3 к договору подряда)</w:t>
            </w:r>
          </w:p>
        </w:tc>
      </w:tr>
      <w:tr w:rsidR="00982B09" w:rsidRPr="00982B09" w14:paraId="609A2A62" w14:textId="77777777" w:rsidTr="00982B09">
        <w:tc>
          <w:tcPr>
            <w:tcW w:w="518" w:type="dxa"/>
          </w:tcPr>
          <w:p w14:paraId="218C9498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612" w:type="dxa"/>
          </w:tcPr>
          <w:p w14:paraId="292D4C7C" w14:textId="2405F742" w:rsidR="00982B09" w:rsidRPr="00982B09" w:rsidRDefault="00982B09" w:rsidP="00982B09">
            <w:pPr>
              <w:rPr>
                <w:rFonts w:ascii="Times New Roman" w:hAnsi="Times New Roman"/>
                <w:sz w:val="24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выполнения работ. </w:t>
            </w:r>
            <w:r>
              <w:rPr>
                <w:rFonts w:eastAsia="Calibri" w:cs="Tahoma"/>
                <w:szCs w:val="20"/>
              </w:rPr>
              <w:t>Применяемые стандарты, СНиПы и прочие правила.</w:t>
            </w:r>
          </w:p>
          <w:p w14:paraId="49DBEC8A" w14:textId="77777777"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</w:tcPr>
          <w:p w14:paraId="35D50A9D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4904EB7F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5CCB456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14:paraId="7D3220DC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4 мая 2012 г. № 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07238AB7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ГОСТ 7746-2015 «Межгосударственный стандарт. Трансформаторы тока. Общие технические условия»;</w:t>
            </w:r>
          </w:p>
          <w:p w14:paraId="798D4C7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lastRenderedPageBreak/>
              <w:t>- ТР ТС 020/2011 «Электромагнитная совместимость технических средств»;</w:t>
            </w:r>
          </w:p>
          <w:p w14:paraId="3CBA9392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14:paraId="5CBC2014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38278984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5FD35628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499D2821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2D194D89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3EC0488D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71AC2382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73DB2DB5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метро¬логических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3A755FC8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43E84C34" w14:textId="77777777" w:rsidR="001B016A" w:rsidRPr="001B016A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150E4C84" w14:textId="41C04AD8" w:rsidR="00982B09" w:rsidRPr="00982B09" w:rsidRDefault="001B016A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1B016A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982B09" w:rsidRPr="00982B09" w14:paraId="7F4389DB" w14:textId="77777777" w:rsidTr="00982B09">
        <w:tc>
          <w:tcPr>
            <w:tcW w:w="518" w:type="dxa"/>
          </w:tcPr>
          <w:p w14:paraId="1558E7EB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12" w:type="dxa"/>
          </w:tcPr>
          <w:p w14:paraId="0EC5CE95" w14:textId="0FDAB74D" w:rsidR="00982B09" w:rsidRPr="00982B09" w:rsidRDefault="00982B09" w:rsidP="001B016A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eastAsia="Calibri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88" w:type="dxa"/>
          </w:tcPr>
          <w:p w14:paraId="7E60106D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Монтаж оборудования выполняется по нормам безопасности от поражения электрическим током.</w:t>
            </w:r>
          </w:p>
          <w:p w14:paraId="46632A25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6554B3B7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14:paraId="7D7F715B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Руководящими документами;</w:t>
            </w:r>
          </w:p>
          <w:p w14:paraId="1D2CB642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Отраслевыми стандартами и др. документами.</w:t>
            </w:r>
          </w:p>
          <w:p w14:paraId="5758C1BD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030D5F9B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33197F06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ПУЭ (действующее издание);</w:t>
            </w:r>
          </w:p>
          <w:p w14:paraId="742AC81E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ПТЭ (действующее издание);</w:t>
            </w:r>
          </w:p>
          <w:p w14:paraId="284C2DEC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безопасности выполняемых работ:</w:t>
            </w:r>
          </w:p>
          <w:p w14:paraId="0D8A7680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</w:t>
            </w: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13F0D615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1951A558" w14:textId="77777777" w:rsidR="001B016A" w:rsidRPr="001B016A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5592E40C" w14:textId="6C40DFE8" w:rsidR="00982B09" w:rsidRPr="00982B09" w:rsidRDefault="001B016A" w:rsidP="001B016A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01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982B09" w:rsidRPr="00982B09" w14:paraId="2DD87EA2" w14:textId="77777777" w:rsidTr="00982B09">
        <w:tc>
          <w:tcPr>
            <w:tcW w:w="518" w:type="dxa"/>
          </w:tcPr>
          <w:p w14:paraId="5D0C8D2B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12" w:type="dxa"/>
          </w:tcPr>
          <w:p w14:paraId="45909924" w14:textId="17C52933" w:rsidR="00982B09" w:rsidRPr="00982B09" w:rsidRDefault="00982B09" w:rsidP="00982B09">
            <w:pPr>
              <w:rPr>
                <w:rFonts w:eastAsia="Arial Unicode MS"/>
                <w:szCs w:val="20"/>
              </w:rPr>
            </w:pPr>
            <w:r w:rsidRPr="00982B09">
              <w:rPr>
                <w:rFonts w:eastAsia="Arial Unicode MS"/>
                <w:szCs w:val="20"/>
              </w:rPr>
              <w:t>Требования к применяемым материалам</w:t>
            </w:r>
            <w:r>
              <w:rPr>
                <w:rFonts w:eastAsia="Arial Unicode MS"/>
                <w:szCs w:val="20"/>
              </w:rPr>
              <w:t xml:space="preserve"> и оборудованию</w:t>
            </w:r>
          </w:p>
        </w:tc>
        <w:tc>
          <w:tcPr>
            <w:tcW w:w="5788" w:type="dxa"/>
            <w:vAlign w:val="center"/>
          </w:tcPr>
          <w:p w14:paraId="5F3BC30E" w14:textId="77777777" w:rsidR="001B016A" w:rsidRPr="001B016A" w:rsidRDefault="001B016A" w:rsidP="001B016A">
            <w:pPr>
              <w:ind w:right="120"/>
              <w:jc w:val="both"/>
              <w:rPr>
                <w:rFonts w:cs="Tahoma"/>
                <w:szCs w:val="20"/>
              </w:rPr>
            </w:pPr>
            <w:r w:rsidRPr="001B016A">
              <w:rPr>
                <w:rFonts w:cs="Tahoma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 (пломбы-наклейки));</w:t>
            </w:r>
          </w:p>
          <w:p w14:paraId="12B6DAF0" w14:textId="77777777" w:rsidR="001B016A" w:rsidRPr="001B016A" w:rsidRDefault="001B016A" w:rsidP="001B016A">
            <w:pPr>
              <w:ind w:right="120"/>
              <w:jc w:val="both"/>
              <w:rPr>
                <w:rFonts w:cs="Tahoma"/>
                <w:szCs w:val="20"/>
              </w:rPr>
            </w:pPr>
            <w:r w:rsidRPr="001B016A">
              <w:rPr>
                <w:rFonts w:cs="Tahoma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0BF9DD6B" w14:textId="77777777" w:rsidR="001B016A" w:rsidRPr="001B016A" w:rsidRDefault="001B016A" w:rsidP="001B016A">
            <w:pPr>
              <w:ind w:right="120"/>
              <w:jc w:val="both"/>
              <w:rPr>
                <w:rFonts w:cs="Tahoma"/>
                <w:szCs w:val="20"/>
              </w:rPr>
            </w:pPr>
            <w:r w:rsidRPr="001B016A">
              <w:rPr>
                <w:rFonts w:cs="Tahoma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BAFF624" w14:textId="77777777" w:rsidR="001B016A" w:rsidRPr="001B016A" w:rsidRDefault="001B016A" w:rsidP="001B016A">
            <w:pPr>
              <w:ind w:right="120"/>
              <w:jc w:val="both"/>
              <w:rPr>
                <w:rFonts w:cs="Tahoma"/>
                <w:szCs w:val="20"/>
              </w:rPr>
            </w:pPr>
            <w:r w:rsidRPr="001B016A">
              <w:rPr>
                <w:rFonts w:cs="Tahoma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5B282321" w14:textId="7EFB7522" w:rsidR="00982B09" w:rsidRPr="001B016A" w:rsidRDefault="001B016A" w:rsidP="001B016A">
            <w:pPr>
              <w:ind w:right="120"/>
              <w:jc w:val="both"/>
              <w:rPr>
                <w:rFonts w:cs="Tahoma"/>
                <w:szCs w:val="20"/>
              </w:rPr>
            </w:pPr>
            <w:r w:rsidRPr="001B016A">
              <w:rPr>
                <w:rFonts w:cs="Tahoma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982B09" w:rsidRPr="00982B09" w14:paraId="5C0B4D1C" w14:textId="77777777" w:rsidTr="00982B09">
        <w:tc>
          <w:tcPr>
            <w:tcW w:w="518" w:type="dxa"/>
          </w:tcPr>
          <w:p w14:paraId="657ED7EE" w14:textId="7B5F9745" w:rsidR="00982B09" w:rsidRPr="00982B09" w:rsidRDefault="009571F1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612" w:type="dxa"/>
          </w:tcPr>
          <w:p w14:paraId="4E2E9F73" w14:textId="77777777"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5788" w:type="dxa"/>
          </w:tcPr>
          <w:p w14:paraId="7B16575E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2322BD31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14:paraId="06C0C703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</w:t>
            </w:r>
            <w:r w:rsidRPr="009571F1">
              <w:rPr>
                <w:rFonts w:ascii="Tahoma" w:hAnsi="Tahoma" w:cs="Tahoma"/>
                <w:sz w:val="20"/>
                <w:szCs w:val="20"/>
              </w:rPr>
              <w:lastRenderedPageBreak/>
              <w:t xml:space="preserve">несет Подрядчик, за исключением случаев, когда в недостатках Работы экспертизой установлена вина Заказчика. </w:t>
            </w:r>
          </w:p>
          <w:p w14:paraId="2C9F7923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7CF6EC48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6DA7DE62" w14:textId="27D38BAE" w:rsidR="00982B09" w:rsidRPr="00982B09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  <w:r w:rsidR="00982B0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82B09" w:rsidRPr="00982B0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82B0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82B09" w:rsidRPr="00982B09" w14:paraId="3F2C32F0" w14:textId="77777777" w:rsidTr="00982B09">
        <w:tc>
          <w:tcPr>
            <w:tcW w:w="518" w:type="dxa"/>
          </w:tcPr>
          <w:p w14:paraId="389A2096" w14:textId="213386DA" w:rsidR="00982B09" w:rsidRPr="00982B09" w:rsidRDefault="009571F1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12" w:type="dxa"/>
          </w:tcPr>
          <w:p w14:paraId="0BE0E62C" w14:textId="77777777"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результату работ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. Порядок сдачи и приемки результатов </w:t>
            </w:r>
            <w:r>
              <w:rPr>
                <w:rFonts w:ascii="Tahoma" w:hAnsi="Tahoma" w:cs="Tahoma"/>
                <w:sz w:val="20"/>
                <w:szCs w:val="20"/>
              </w:rPr>
              <w:t>работ.</w:t>
            </w:r>
          </w:p>
          <w:p w14:paraId="4DEAEAFE" w14:textId="77777777"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</w:tcPr>
          <w:p w14:paraId="68F3EE2A" w14:textId="77777777" w:rsidR="009571F1" w:rsidRPr="009571F1" w:rsidRDefault="00982B09" w:rsidP="009571F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571F1" w:rsidRPr="009571F1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7104B88A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</w:t>
            </w:r>
            <w:r w:rsidRPr="009571F1">
              <w:rPr>
                <w:rFonts w:ascii="Tahoma" w:hAnsi="Tahoma" w:cs="Tahoma"/>
                <w:sz w:val="20"/>
                <w:szCs w:val="20"/>
              </w:rPr>
              <w:tab/>
              <w:t>акты приемки выполненных Работ (форма №КС-2);</w:t>
            </w:r>
          </w:p>
          <w:p w14:paraId="5D288CED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</w:t>
            </w:r>
            <w:r w:rsidRPr="009571F1">
              <w:rPr>
                <w:rFonts w:ascii="Tahoma" w:hAnsi="Tahoma" w:cs="Tahoma"/>
                <w:sz w:val="20"/>
                <w:szCs w:val="20"/>
              </w:rPr>
              <w:tab/>
              <w:t>оформленную надлежащим образом монтажную ведомость в формате Excel с указанием заводских серийных номеров и мест установки каждой единицы оборудования, а также материалы фотофиксации демонтированных приборов учета электрической энергии и вновь установленных ПУ ИСУ;</w:t>
            </w:r>
          </w:p>
          <w:p w14:paraId="77B3579B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</w:t>
            </w:r>
            <w:r w:rsidRPr="009571F1">
              <w:rPr>
                <w:rFonts w:ascii="Tahoma" w:hAnsi="Tahoma" w:cs="Tahoma"/>
                <w:sz w:val="20"/>
                <w:szCs w:val="20"/>
              </w:rPr>
              <w:tab/>
              <w:t>паспорта на оборудование и измерительные трансформаторы тока с отметками о местах установки;</w:t>
            </w:r>
          </w:p>
          <w:p w14:paraId="3634CAA6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</w:t>
            </w:r>
            <w:r w:rsidRPr="009571F1">
              <w:rPr>
                <w:rFonts w:ascii="Tahoma" w:hAnsi="Tahoma" w:cs="Tahoma"/>
                <w:sz w:val="20"/>
                <w:szCs w:val="20"/>
              </w:rPr>
              <w:tab/>
              <w:t xml:space="preserve">Акты ввода в эксплуатацию (осмотра) приборов учета электроэнергии </w:t>
            </w:r>
          </w:p>
          <w:p w14:paraId="224F072A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4CD2AD53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 эксплуатационную документацию, сертификаты, технические условия, протоколы, инструкции;</w:t>
            </w:r>
          </w:p>
          <w:p w14:paraId="4950258A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 документы, удостоверяющие качество использованных Подрядчиком материалов и оборудования;</w:t>
            </w:r>
          </w:p>
          <w:p w14:paraId="22BCF78D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 пофамильные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14:paraId="46719C96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 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0F910175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 реестр актов отсутствия тех. возможности, а также документы и материалы фотофиксации;</w:t>
            </w:r>
          </w:p>
          <w:p w14:paraId="48F1AC9C" w14:textId="77777777" w:rsidR="009571F1" w:rsidRPr="009571F1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потребителям;</w:t>
            </w:r>
          </w:p>
          <w:p w14:paraId="4845F747" w14:textId="7A77C4F8" w:rsidR="00982B09" w:rsidRPr="00982B09" w:rsidRDefault="009571F1" w:rsidP="009571F1">
            <w:pPr>
              <w:rPr>
                <w:rFonts w:ascii="Tahoma" w:hAnsi="Tahoma" w:cs="Tahoma"/>
                <w:sz w:val="20"/>
                <w:szCs w:val="20"/>
              </w:rPr>
            </w:pPr>
            <w:r w:rsidRPr="009571F1">
              <w:rPr>
                <w:rFonts w:ascii="Tahoma" w:hAnsi="Tahoma" w:cs="Tahoma"/>
                <w:sz w:val="20"/>
                <w:szCs w:val="20"/>
              </w:rPr>
              <w:t>- скан-копии Актов ввода в эксплуатацию (осмотра) приборов учета электроэнергии в формате PDF, совместно со скан-копиями Формуляров ПУ ИСУ, указанных в данных актах.</w:t>
            </w:r>
          </w:p>
        </w:tc>
      </w:tr>
      <w:tr w:rsidR="00982B09" w:rsidRPr="00982B09" w14:paraId="74A37E17" w14:textId="77777777" w:rsidTr="00982B09">
        <w:tc>
          <w:tcPr>
            <w:tcW w:w="518" w:type="dxa"/>
          </w:tcPr>
          <w:p w14:paraId="1DAAFA5B" w14:textId="2340A7B2" w:rsidR="00982B09" w:rsidRPr="00982B09" w:rsidRDefault="009571F1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612" w:type="dxa"/>
          </w:tcPr>
          <w:p w14:paraId="43532E61" w14:textId="77777777" w:rsidR="00982B09" w:rsidRPr="00982B09" w:rsidRDefault="00982B09" w:rsidP="00982B09">
            <w:pPr>
              <w:rPr>
                <w:rFonts w:cs="Tahoma"/>
                <w:szCs w:val="20"/>
              </w:rPr>
            </w:pPr>
            <w:r w:rsidRPr="00982B09">
              <w:rPr>
                <w:rFonts w:eastAsia="Calibri" w:cs="Tahoma"/>
                <w:szCs w:val="20"/>
              </w:rPr>
              <w:t>Гарантийные обязательства.</w:t>
            </w:r>
          </w:p>
        </w:tc>
        <w:tc>
          <w:tcPr>
            <w:tcW w:w="5788" w:type="dxa"/>
          </w:tcPr>
          <w:p w14:paraId="21A1D6EB" w14:textId="77777777" w:rsidR="009571F1" w:rsidRPr="009571F1" w:rsidRDefault="00982B09" w:rsidP="009571F1">
            <w:pPr>
              <w:widowControl w:val="0"/>
              <w:ind w:right="113" w:firstLine="287"/>
              <w:rPr>
                <w:rFonts w:eastAsia="Calibri" w:cs="Tahoma"/>
                <w:szCs w:val="20"/>
              </w:rPr>
            </w:pPr>
            <w:r>
              <w:rPr>
                <w:rFonts w:eastAsia="Calibri" w:cs="Tahoma"/>
                <w:szCs w:val="20"/>
              </w:rPr>
              <w:t xml:space="preserve"> </w:t>
            </w:r>
            <w:r w:rsidR="009571F1" w:rsidRPr="009571F1">
              <w:rPr>
                <w:rFonts w:eastAsia="Calibri" w:cs="Tahoma"/>
                <w:szCs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</w:t>
            </w:r>
            <w:r w:rsidR="009571F1" w:rsidRPr="009571F1">
              <w:rPr>
                <w:rFonts w:eastAsia="Calibri" w:cs="Tahoma"/>
                <w:szCs w:val="20"/>
              </w:rPr>
              <w:lastRenderedPageBreak/>
              <w:t>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14:paraId="58BEAA0B" w14:textId="77777777" w:rsidR="009571F1" w:rsidRPr="009571F1" w:rsidRDefault="009571F1" w:rsidP="009571F1">
            <w:pPr>
              <w:widowControl w:val="0"/>
              <w:ind w:right="113" w:firstLine="287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258E5C70" w14:textId="77777777" w:rsidR="009571F1" w:rsidRPr="009571F1" w:rsidRDefault="009571F1" w:rsidP="009571F1">
            <w:pPr>
              <w:widowControl w:val="0"/>
              <w:ind w:right="113" w:firstLine="287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При выявлении дефекта Подрядчик обязан:</w:t>
            </w:r>
          </w:p>
          <w:p w14:paraId="617CF280" w14:textId="77777777" w:rsidR="009571F1" w:rsidRPr="009571F1" w:rsidRDefault="009571F1" w:rsidP="009571F1">
            <w:pPr>
              <w:widowControl w:val="0"/>
              <w:ind w:right="113" w:firstLine="287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11701316" w14:textId="77777777" w:rsidR="009571F1" w:rsidRPr="009571F1" w:rsidRDefault="009571F1" w:rsidP="009571F1">
            <w:pPr>
              <w:widowControl w:val="0"/>
              <w:ind w:right="113" w:firstLine="287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6927175A" w14:textId="1398ECC4" w:rsidR="00982B09" w:rsidRPr="00982B09" w:rsidRDefault="009571F1" w:rsidP="009571F1">
            <w:pPr>
              <w:widowControl w:val="0"/>
              <w:ind w:right="113" w:firstLine="287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  <w:p w14:paraId="1BB7C8EA" w14:textId="77777777" w:rsidR="00982B09" w:rsidRPr="00982B09" w:rsidRDefault="00982B09" w:rsidP="009571F1">
            <w:pPr>
              <w:ind w:left="508" w:right="120"/>
              <w:rPr>
                <w:rFonts w:eastAsia="Calibri"/>
              </w:rPr>
            </w:pPr>
          </w:p>
        </w:tc>
      </w:tr>
      <w:tr w:rsidR="009571F1" w:rsidRPr="00982B09" w14:paraId="405FB229" w14:textId="77777777" w:rsidTr="00982B09">
        <w:tc>
          <w:tcPr>
            <w:tcW w:w="518" w:type="dxa"/>
          </w:tcPr>
          <w:p w14:paraId="1CAC4989" w14:textId="67CA97E0" w:rsidR="009571F1" w:rsidRDefault="009571F1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12" w:type="dxa"/>
            <w:tcBorders>
              <w:bottom w:val="single" w:sz="4" w:space="0" w:color="auto"/>
            </w:tcBorders>
          </w:tcPr>
          <w:p w14:paraId="188DD022" w14:textId="7492E3E6" w:rsidR="009571F1" w:rsidRPr="00982B09" w:rsidRDefault="009571F1" w:rsidP="00982B09">
            <w:pPr>
              <w:rPr>
                <w:rFonts w:cs="Tahoma"/>
                <w:szCs w:val="20"/>
              </w:rPr>
            </w:pPr>
            <w:r w:rsidRPr="009571F1">
              <w:rPr>
                <w:rFonts w:cs="Tahoma"/>
                <w:szCs w:val="20"/>
              </w:rPr>
              <w:t>Требования к работе Подрядчи</w:t>
            </w:r>
            <w:r>
              <w:rPr>
                <w:rFonts w:cs="Tahoma"/>
                <w:szCs w:val="20"/>
              </w:rPr>
              <w:t>ка в модуле Мобильный контролер</w:t>
            </w:r>
          </w:p>
        </w:tc>
        <w:tc>
          <w:tcPr>
            <w:tcW w:w="5788" w:type="dxa"/>
            <w:tcBorders>
              <w:bottom w:val="single" w:sz="4" w:space="0" w:color="auto"/>
            </w:tcBorders>
          </w:tcPr>
          <w:p w14:paraId="6CE64529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Требования к работе Подрядчика в модуле Мобильный контролер:</w:t>
            </w:r>
          </w:p>
          <w:p w14:paraId="58F83280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14:paraId="44B63509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1D1D80A0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0FDC3240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0D80769A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подготовка отчетности о деятельности сотрудников.</w:t>
            </w:r>
          </w:p>
          <w:p w14:paraId="1452B203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4383DC2E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34A2A84E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пользоваться сканером для считывания штрихкода заводского номера ПУ, номера шлюза, номера ICCD Sim-карт.</w:t>
            </w:r>
          </w:p>
          <w:p w14:paraId="5F1F78C6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lastRenderedPageBreak/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556925DC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 xml:space="preserve"> Требования к устройствам:</w:t>
            </w:r>
          </w:p>
          <w:p w14:paraId="3DDE5246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Устройство должно быть оснащено фотокамерой не ниже 8 МП со вспышкой, с возможностью чтения показаний ПУ зафиксированных на фотокамеру;</w:t>
            </w:r>
          </w:p>
          <w:p w14:paraId="150709BF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Оперативная память объемом не менее 1 Гб и встроенная флэш-память объемом не менее 16 Гб;</w:t>
            </w:r>
          </w:p>
          <w:p w14:paraId="4A0D8E59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Устройство должно обеспечивать прием/передачу данных по каналам сотовой связи (LTE, HSPA+(3G), EDGE/GPRS/GSM, Wi-Fi, Bluetooth);</w:t>
            </w:r>
          </w:p>
          <w:p w14:paraId="051ABB63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Устройство должно иметь встроенный приемник с поддержкой GPS/ГЛОНАСС;</w:t>
            </w:r>
          </w:p>
          <w:p w14:paraId="6D936A47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Устройство должно относительно комфортно умещаться в руках;</w:t>
            </w:r>
          </w:p>
          <w:p w14:paraId="4B61112A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 xml:space="preserve">- Пыле, влаго, удара защищенный корпус (Степень защиты IP67). Защита от электромагнитных волн;  </w:t>
            </w:r>
          </w:p>
          <w:p w14:paraId="65DC5D56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Наличие дисплея, показывающего необходимую информацию по объекту и результаты измерений, разрешением не ниже 1280х720;</w:t>
            </w:r>
          </w:p>
          <w:p w14:paraId="51F5875B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Рабочая температура от -20 до +50 °С;</w:t>
            </w:r>
          </w:p>
          <w:p w14:paraId="13766725" w14:textId="5356831A" w:rsid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- Доступ в ПО предоставляется без взимания дополнительной платы, устройства (смартфон, планшет) приобретаются и используются Подрядчиком за свой счет.</w:t>
            </w:r>
          </w:p>
        </w:tc>
      </w:tr>
      <w:tr w:rsidR="00982B09" w:rsidRPr="00982B09" w14:paraId="3FD2510E" w14:textId="77777777" w:rsidTr="00982B09">
        <w:tc>
          <w:tcPr>
            <w:tcW w:w="518" w:type="dxa"/>
          </w:tcPr>
          <w:p w14:paraId="3F292454" w14:textId="77777777"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12" w:type="dxa"/>
            <w:tcBorders>
              <w:bottom w:val="single" w:sz="4" w:space="0" w:color="auto"/>
            </w:tcBorders>
          </w:tcPr>
          <w:p w14:paraId="28637A9E" w14:textId="0887861E" w:rsidR="00982B09" w:rsidRPr="00982B09" w:rsidRDefault="00982B09" w:rsidP="009571F1">
            <w:pPr>
              <w:rPr>
                <w:rFonts w:cs="Tahoma"/>
                <w:szCs w:val="20"/>
              </w:rPr>
            </w:pPr>
            <w:r w:rsidRPr="00982B09">
              <w:rPr>
                <w:rFonts w:cs="Tahoma"/>
                <w:szCs w:val="20"/>
              </w:rPr>
              <w:t>Приложения</w:t>
            </w:r>
          </w:p>
        </w:tc>
        <w:tc>
          <w:tcPr>
            <w:tcW w:w="5788" w:type="dxa"/>
            <w:tcBorders>
              <w:bottom w:val="single" w:sz="4" w:space="0" w:color="auto"/>
            </w:tcBorders>
          </w:tcPr>
          <w:p w14:paraId="6FB2EC29" w14:textId="54E3BB1D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1. График производства работ;</w:t>
            </w:r>
          </w:p>
          <w:p w14:paraId="3E1AC779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2. Ведомость объемов работ;</w:t>
            </w:r>
          </w:p>
          <w:p w14:paraId="24633A0F" w14:textId="77777777" w:rsidR="009571F1" w:rsidRPr="009571F1" w:rsidRDefault="009571F1" w:rsidP="009571F1">
            <w:pPr>
              <w:pStyle w:val="a4"/>
              <w:tabs>
                <w:tab w:val="left" w:pos="271"/>
              </w:tabs>
              <w:ind w:left="360" w:right="114"/>
              <w:rPr>
                <w:rFonts w:eastAsia="Calibri" w:cs="Tahoma"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3. Перечень товарно-материальных ценностей необходимых для выполнения работ по договору;</w:t>
            </w:r>
          </w:p>
          <w:p w14:paraId="239C576A" w14:textId="3722B13F" w:rsidR="00982B09" w:rsidRPr="00982B09" w:rsidRDefault="009571F1" w:rsidP="009571F1">
            <w:pPr>
              <w:pStyle w:val="a4"/>
              <w:tabs>
                <w:tab w:val="left" w:pos="965"/>
              </w:tabs>
              <w:ind w:left="0" w:right="120" w:firstLine="287"/>
              <w:jc w:val="both"/>
              <w:rPr>
                <w:rFonts w:cs="Tahoma"/>
                <w:iCs/>
                <w:szCs w:val="20"/>
              </w:rPr>
            </w:pPr>
            <w:r w:rsidRPr="009571F1">
              <w:rPr>
                <w:rFonts w:eastAsia="Calibri" w:cs="Tahoma"/>
                <w:szCs w:val="20"/>
              </w:rPr>
              <w:t>4.  ЗАЯВКА на предоставление доступа в с</w:t>
            </w:r>
            <w:r>
              <w:rPr>
                <w:rFonts w:eastAsia="Calibri" w:cs="Tahoma"/>
                <w:szCs w:val="20"/>
              </w:rPr>
              <w:t xml:space="preserve">истему "Мобильный Контролер"   </w:t>
            </w:r>
          </w:p>
        </w:tc>
      </w:tr>
    </w:tbl>
    <w:p w14:paraId="027C4DDF" w14:textId="77777777" w:rsidR="00982B09" w:rsidRDefault="00982B09" w:rsidP="00982B09">
      <w:pPr>
        <w:jc w:val="center"/>
        <w:rPr>
          <w:rFonts w:ascii="Tahoma" w:hAnsi="Tahoma" w:cs="Tahoma"/>
        </w:rPr>
      </w:pPr>
    </w:p>
    <w:p w14:paraId="75C417EF" w14:textId="3BE1E278" w:rsid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3B9FAE5" w14:textId="70DB1335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F7CC74D" w14:textId="10F68FF2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DFCE884" w14:textId="4A70F33C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A30121F" w14:textId="51341A7C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E8DE1D" w14:textId="3E9DDAEC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E46826" w14:textId="7D7C6087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901C5F" w14:textId="5E9D2FC4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F3E6870" w14:textId="283982A8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562512" w14:textId="20D90CAA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C7A987" w14:textId="23BF7CBB" w:rsidR="009571F1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20DFDD" w14:textId="77777777" w:rsidR="009571F1" w:rsidRPr="00982B09" w:rsidRDefault="009571F1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2A95109" w14:textId="48B81C73" w:rsid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A28370D" w14:textId="53D4CE4E" w:rsid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5FB6559" w14:textId="386BC719" w:rsid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19C1D3AA" w14:textId="77777777" w:rsid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0AF4AFA2" w14:textId="77777777" w:rsid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80B1D9F" w14:textId="77777777" w:rsid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3D9C600" w14:textId="77777777" w:rsid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7454D6D" w14:textId="77777777" w:rsid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02CA5AD" w14:textId="7EF63B13" w:rsidR="009571F1" w:rsidRP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9571F1">
        <w:rPr>
          <w:rFonts w:ascii="Tahoma" w:eastAsia="Times New Roman" w:hAnsi="Tahoma" w:cs="Tahoma"/>
          <w:sz w:val="18"/>
          <w:szCs w:val="18"/>
          <w:lang w:eastAsia="ru-RU"/>
        </w:rPr>
        <w:t>Приложение №1</w:t>
      </w:r>
    </w:p>
    <w:p w14:paraId="5BDCAE05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571F1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14:paraId="3C0CDD4B" w14:textId="77777777" w:rsidR="009571F1" w:rsidRPr="009571F1" w:rsidRDefault="009571F1" w:rsidP="009571F1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54925A2A" w14:textId="77777777" w:rsidR="009571F1" w:rsidRPr="009571F1" w:rsidRDefault="009571F1" w:rsidP="009571F1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9571F1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0D99E7E2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tbl>
      <w:tblPr>
        <w:tblW w:w="96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1"/>
        <w:gridCol w:w="4257"/>
        <w:gridCol w:w="992"/>
        <w:gridCol w:w="1276"/>
        <w:gridCol w:w="1168"/>
      </w:tblGrid>
      <w:tr w:rsidR="009571F1" w:rsidRPr="009571F1" w14:paraId="2C26D83C" w14:textId="77777777" w:rsidTr="00C15AA7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8EC8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8C04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Этап выполнения Работ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2483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6BC4" w14:textId="77777777" w:rsidR="009571F1" w:rsidRPr="009571F1" w:rsidRDefault="009571F1" w:rsidP="009571F1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6FE31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27C49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9571F1" w:rsidRPr="009571F1" w14:paraId="0263A53C" w14:textId="77777777" w:rsidTr="00C15AA7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35DC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C191E60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не позднее 1 (одного) рабочего дня с момента заключения Сторонами Договора -Декабрь</w:t>
            </w:r>
          </w:p>
          <w:p w14:paraId="5AAF2077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2024 года 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B7D5C09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 w:themeColor="text1"/>
                <w:sz w:val="16"/>
                <w:szCs w:val="20"/>
              </w:rPr>
              <w:t>МКД находящиеся на территории Владимирской области в городах присутствия Владимирского филиала АО «ЭнергосбыТ Плюс»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080D6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B7B18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E0A08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8394</w:t>
            </w:r>
          </w:p>
        </w:tc>
      </w:tr>
      <w:tr w:rsidR="009571F1" w:rsidRPr="009571F1" w14:paraId="7BA5F11E" w14:textId="77777777" w:rsidTr="00C15AA7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977C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E3BBA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7" w:type="dxa"/>
            <w:vMerge/>
            <w:tcBorders>
              <w:left w:val="nil"/>
              <w:right w:val="single" w:sz="4" w:space="0" w:color="auto"/>
            </w:tcBorders>
          </w:tcPr>
          <w:p w14:paraId="1B362A96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C7212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0CB25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E2388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317</w:t>
            </w:r>
          </w:p>
        </w:tc>
      </w:tr>
      <w:tr w:rsidR="009571F1" w:rsidRPr="009571F1" w14:paraId="53E23F0A" w14:textId="77777777" w:rsidTr="00C15AA7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0E80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90F0D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7" w:type="dxa"/>
            <w:vMerge/>
            <w:tcBorders>
              <w:left w:val="nil"/>
              <w:right w:val="single" w:sz="4" w:space="0" w:color="auto"/>
            </w:tcBorders>
            <w:noWrap/>
          </w:tcPr>
          <w:p w14:paraId="52235BA9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038A3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9A1AE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C493B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389</w:t>
            </w:r>
          </w:p>
        </w:tc>
      </w:tr>
      <w:tr w:rsidR="009571F1" w:rsidRPr="009571F1" w14:paraId="34B4935B" w14:textId="77777777" w:rsidTr="00C15AA7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3DF9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D0A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991A2B1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B3619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70FBB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3710B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1167</w:t>
            </w:r>
          </w:p>
        </w:tc>
      </w:tr>
    </w:tbl>
    <w:p w14:paraId="0E85D42B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3F291B63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270C6D6C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22CE9483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6A243BFB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47E37025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  <w:bookmarkStart w:id="0" w:name="_GoBack"/>
      <w:bookmarkEnd w:id="0"/>
    </w:p>
    <w:p w14:paraId="7B5212E1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16AB40F8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42E82E0E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603B9F42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6A598E73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08BACC10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01334614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27140C96" w14:textId="77777777" w:rsidR="009571F1" w:rsidRP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9571F1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№2</w:t>
      </w:r>
    </w:p>
    <w:p w14:paraId="4733AD7C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571F1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9571F1" w:rsidRPr="009571F1" w14:paraId="424944E1" w14:textId="77777777" w:rsidTr="00C15AA7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934EF8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571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9571F1" w:rsidRPr="009571F1" w14:paraId="47007F9F" w14:textId="77777777" w:rsidTr="00C15AA7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E43BD7" w14:textId="77777777" w:rsidR="009571F1" w:rsidRPr="009571F1" w:rsidRDefault="009571F1" w:rsidP="00957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D86140" w14:textId="77777777" w:rsidR="009571F1" w:rsidRPr="009571F1" w:rsidRDefault="009571F1" w:rsidP="00957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17AC4B" w14:textId="77777777" w:rsidR="009571F1" w:rsidRPr="009571F1" w:rsidRDefault="009571F1" w:rsidP="00957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397D22" w14:textId="77777777" w:rsidR="009571F1" w:rsidRPr="009571F1" w:rsidRDefault="009571F1" w:rsidP="00957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824A8E" w14:textId="77777777" w:rsidR="009571F1" w:rsidRPr="009571F1" w:rsidRDefault="009571F1" w:rsidP="00957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73152F" w14:textId="77777777" w:rsidR="009571F1" w:rsidRPr="009571F1" w:rsidRDefault="009571F1" w:rsidP="00957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571F1" w:rsidRPr="009571F1" w14:paraId="16F43C64" w14:textId="77777777" w:rsidTr="00C15AA7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BE8A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96B4C9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5836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FD9D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9571F1" w:rsidRPr="009571F1" w14:paraId="321DCE39" w14:textId="77777777" w:rsidTr="00C15AA7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7F54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CA796E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487A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5028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571F1" w:rsidRPr="009571F1" w14:paraId="27C0C6A0" w14:textId="77777777" w:rsidTr="00C15AA7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7D2352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9571F1" w:rsidRPr="009571F1" w14:paraId="433AD009" w14:textId="77777777" w:rsidTr="00C15A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A6B1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57A17A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A29C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F39D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83,94</w:t>
            </w:r>
          </w:p>
        </w:tc>
      </w:tr>
      <w:tr w:rsidR="009571F1" w:rsidRPr="009571F1" w14:paraId="44F1AC79" w14:textId="77777777" w:rsidTr="00C15A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C8CE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635103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9571F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D98D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BAA1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8394</w:t>
            </w:r>
          </w:p>
        </w:tc>
      </w:tr>
      <w:tr w:rsidR="009571F1" w:rsidRPr="009571F1" w14:paraId="6EC131EB" w14:textId="77777777" w:rsidTr="00C15AA7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726CB6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9571F1" w:rsidRPr="009571F1" w14:paraId="769FB482" w14:textId="77777777" w:rsidTr="00C15A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03B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0694A6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8D82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E689A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3,17</w:t>
            </w:r>
          </w:p>
        </w:tc>
      </w:tr>
      <w:tr w:rsidR="009571F1" w:rsidRPr="009571F1" w14:paraId="44D6BAF4" w14:textId="77777777" w:rsidTr="00C15A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D3E3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B9A4A0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9571F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D5CF2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3B36A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317</w:t>
            </w:r>
          </w:p>
        </w:tc>
      </w:tr>
      <w:tr w:rsidR="009571F1" w:rsidRPr="009571F1" w14:paraId="2E454F00" w14:textId="77777777" w:rsidTr="00C15AA7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CF0D7C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9571F1" w:rsidRPr="009571F1" w14:paraId="631BDAD6" w14:textId="77777777" w:rsidTr="00C15A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7DB4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873FE7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4EC4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AAD6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3,89</w:t>
            </w:r>
          </w:p>
        </w:tc>
      </w:tr>
      <w:tr w:rsidR="009571F1" w:rsidRPr="009571F1" w14:paraId="19A1C6CF" w14:textId="77777777" w:rsidTr="00C15A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30C3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068DB2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9571F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ABE0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C6B6B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389</w:t>
            </w:r>
          </w:p>
        </w:tc>
      </w:tr>
      <w:tr w:rsidR="009571F1" w:rsidRPr="009571F1" w14:paraId="06CFC340" w14:textId="77777777" w:rsidTr="00C15AA7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4ABFE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41572356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46F38205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571F1" w:rsidRPr="009571F1" w14:paraId="3C76BEAE" w14:textId="77777777" w:rsidTr="00C15AA7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2206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602DB9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01A0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34DD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1167</w:t>
            </w:r>
          </w:p>
        </w:tc>
      </w:tr>
    </w:tbl>
    <w:p w14:paraId="327DDC20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217272F8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3EB1688A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370444CF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39D08866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100D8AAC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728DA540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3F096E01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67CDE99D" w14:textId="77777777" w:rsidR="009571F1" w:rsidRPr="009571F1" w:rsidRDefault="009571F1" w:rsidP="009571F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9571F1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14:paraId="6188104A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571F1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14:paraId="3BE5C212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7853088C" w14:textId="77777777" w:rsidR="009571F1" w:rsidRPr="009571F1" w:rsidRDefault="009571F1" w:rsidP="009571F1">
      <w:pPr>
        <w:spacing w:after="200" w:line="276" w:lineRule="auto"/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9571F1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товарно-материальных ценностей необходимых для выполнения работ по договору</w:t>
      </w:r>
    </w:p>
    <w:tbl>
      <w:tblPr>
        <w:tblStyle w:val="42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9571F1" w:rsidRPr="009571F1" w14:paraId="5A647C0A" w14:textId="77777777" w:rsidTr="00C15AA7">
        <w:trPr>
          <w:jc w:val="center"/>
        </w:trPr>
        <w:tc>
          <w:tcPr>
            <w:tcW w:w="755" w:type="dxa"/>
            <w:vAlign w:val="center"/>
          </w:tcPr>
          <w:p w14:paraId="247BE529" w14:textId="77777777" w:rsidR="009571F1" w:rsidRPr="009571F1" w:rsidRDefault="009571F1" w:rsidP="009571F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40132AF0" w14:textId="77777777" w:rsidR="009571F1" w:rsidRPr="009571F1" w:rsidRDefault="009571F1" w:rsidP="009571F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3A63193F" w14:textId="77777777" w:rsidR="009571F1" w:rsidRPr="009571F1" w:rsidRDefault="009571F1" w:rsidP="009571F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Единица</w:t>
            </w:r>
          </w:p>
          <w:p w14:paraId="06CC5A7C" w14:textId="77777777" w:rsidR="009571F1" w:rsidRPr="009571F1" w:rsidRDefault="009571F1" w:rsidP="009571F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68B7FD4B" w14:textId="77777777" w:rsidR="009571F1" w:rsidRPr="009571F1" w:rsidRDefault="009571F1" w:rsidP="009571F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757D1390" w14:textId="77777777" w:rsidR="009571F1" w:rsidRPr="009571F1" w:rsidRDefault="009571F1" w:rsidP="009571F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Примечание</w:t>
            </w:r>
          </w:p>
        </w:tc>
      </w:tr>
      <w:tr w:rsidR="009571F1" w:rsidRPr="009571F1" w14:paraId="2FE34602" w14:textId="77777777" w:rsidTr="00C15AA7">
        <w:trPr>
          <w:trHeight w:val="567"/>
          <w:jc w:val="center"/>
        </w:trPr>
        <w:tc>
          <w:tcPr>
            <w:tcW w:w="755" w:type="dxa"/>
            <w:vAlign w:val="center"/>
          </w:tcPr>
          <w:p w14:paraId="5BF767DE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3D58A07E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0C11CA62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Однофазный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218DC574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56DCC14A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8394</w:t>
            </w:r>
          </w:p>
        </w:tc>
        <w:tc>
          <w:tcPr>
            <w:tcW w:w="1579" w:type="dxa"/>
            <w:vAlign w:val="center"/>
          </w:tcPr>
          <w:p w14:paraId="6DF01F07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9571F1" w:rsidRPr="009571F1" w14:paraId="441CE96D" w14:textId="77777777" w:rsidTr="00C15A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D0174F2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7BF046EB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4BDDB1DC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2FD34F1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16E4CA3C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317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622F1A9D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9571F1" w:rsidRPr="009571F1" w14:paraId="6A1B3BE9" w14:textId="77777777" w:rsidTr="00C15A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2433E61F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760FFFD6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5ED6A702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BD1D1B7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6B673916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389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7205F880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9571F1" w:rsidRPr="009571F1" w14:paraId="6A2D67FD" w14:textId="77777777" w:rsidTr="00C15A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1D64BC3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052543D2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Трансформаторы тока ТШП – 0,66, 0,5</w:t>
            </w: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</w:t>
            </w: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1A789D0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135E9EB9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1167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2FFBCE7D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иждивением Подрядчика</w:t>
            </w:r>
          </w:p>
        </w:tc>
      </w:tr>
      <w:tr w:rsidR="009571F1" w:rsidRPr="009571F1" w14:paraId="498EA69C" w14:textId="77777777" w:rsidTr="00C15A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6AFB3D8C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437503EB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B24231D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3463FA16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18200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7A7DDCDB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9571F1" w:rsidRPr="009571F1" w14:paraId="3816DFA5" w14:textId="77777777" w:rsidTr="00C15A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009A7BA1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41857182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Sim</w:t>
            </w: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7604D8A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048B66C0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9100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72F18F64" w14:textId="77777777" w:rsidR="009571F1" w:rsidRPr="009571F1" w:rsidRDefault="009571F1" w:rsidP="009571F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571F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</w:tbl>
    <w:p w14:paraId="608EA192" w14:textId="77777777" w:rsidR="009571F1" w:rsidRPr="009571F1" w:rsidRDefault="009571F1" w:rsidP="009571F1">
      <w:pPr>
        <w:spacing w:after="200" w:line="276" w:lineRule="auto"/>
        <w:jc w:val="center"/>
        <w:rPr>
          <w:rFonts w:eastAsia="Times New Roman" w:cs="Times New Roman"/>
        </w:rPr>
      </w:pPr>
    </w:p>
    <w:p w14:paraId="5AD935B4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9EE2829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0878AB5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AE1051E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58E0EAF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5D65804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AFB88D0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4EBC7AF7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FC622AF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F2D5BF4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A2D8B4F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0465693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5742F6D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54C4355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571F1">
        <w:rPr>
          <w:rFonts w:ascii="Tahoma" w:eastAsia="Times New Roman" w:hAnsi="Tahoma" w:cs="Tahoma"/>
          <w:sz w:val="20"/>
          <w:szCs w:val="20"/>
          <w:lang w:eastAsia="ru-RU"/>
        </w:rPr>
        <w:t>Приложение №4</w:t>
      </w:r>
    </w:p>
    <w:p w14:paraId="39C012CF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571F1">
        <w:rPr>
          <w:rFonts w:ascii="Tahoma" w:eastAsia="Times New Roman" w:hAnsi="Tahoma" w:cs="Tahoma"/>
          <w:sz w:val="20"/>
          <w:szCs w:val="20"/>
          <w:lang w:eastAsia="ru-RU"/>
        </w:rPr>
        <w:t xml:space="preserve"> к Техническому заданию </w:t>
      </w:r>
    </w:p>
    <w:p w14:paraId="189E5D81" w14:textId="77777777" w:rsidR="009571F1" w:rsidRPr="009571F1" w:rsidRDefault="009571F1" w:rsidP="009571F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E75CA39" w14:textId="77777777" w:rsidR="009571F1" w:rsidRPr="009571F1" w:rsidRDefault="009571F1" w:rsidP="009571F1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9571F1" w:rsidRPr="009571F1" w14:paraId="22AAD992" w14:textId="77777777" w:rsidTr="00C15A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BB490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571F1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9571F1" w:rsidRPr="009571F1" w14:paraId="5E6E4BAB" w14:textId="77777777" w:rsidTr="00C15A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9870A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9571F1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9571F1" w:rsidRPr="009571F1" w14:paraId="38EADB12" w14:textId="77777777" w:rsidTr="00C15A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9D270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9571F1" w:rsidRPr="009571F1" w14:paraId="425D52FE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E306DA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A8D59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571F1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571F1" w:rsidRPr="009571F1" w14:paraId="0B31ED72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5B4F1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B2CC9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571F1" w:rsidRPr="009571F1" w14:paraId="7043DFD2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EDA66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D466E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571F1" w:rsidRPr="009571F1" w14:paraId="47EC6283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E70C6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954F1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571F1" w:rsidRPr="009571F1" w14:paraId="1AA5C13D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C27EF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4EEB0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571F1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571F1" w:rsidRPr="009571F1" w14:paraId="023721BC" w14:textId="77777777" w:rsidTr="00C15AA7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F8D4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0DBA4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3F5F4790" w14:textId="77777777" w:rsidTr="00C15AA7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E637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D9950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2327DCC6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2D50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C3346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588336E4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5153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5BC3C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5C13319A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B4A7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82CC2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789C9E5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571F1" w:rsidRPr="009571F1" w14:paraId="5BEE0003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D1DC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9DADC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2D94FC46" w14:textId="77777777" w:rsidTr="00C15AA7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367FA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8C972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57614E91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EC572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99336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571F1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571F1" w:rsidRPr="009571F1" w14:paraId="4945031F" w14:textId="77777777" w:rsidTr="00C15AA7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E33F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DC82C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0649A770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58C82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C45AC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571F1" w:rsidRPr="009571F1" w14:paraId="60362F74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1FE5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9747A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571F1" w:rsidRPr="009571F1" w14:paraId="7684B4F6" w14:textId="77777777" w:rsidTr="00C15AA7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6BC1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D9333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1BDEC374" w14:textId="77777777" w:rsidTr="00C15AA7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1F2C5D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F5D450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9571F1" w:rsidRPr="009571F1" w14:paraId="34A2EAA6" w14:textId="77777777" w:rsidTr="00C15AA7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EA12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Владимирский филиал АО "ЭнергосбыТ Плюс"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C7F78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9571F1" w:rsidRPr="009571F1" w14:paraId="48162875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0A3CA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87325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479F60FB" w14:textId="77777777" w:rsidTr="00C15AA7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AFE6D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56F87F6E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85EAA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485AA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3D97623B" w14:textId="77777777" w:rsidTr="00C15AA7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9367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C9FB2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9571F1" w:rsidRPr="009571F1" w14:paraId="1D40D61C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040DB" w14:textId="77777777" w:rsidR="009571F1" w:rsidRPr="009571F1" w:rsidRDefault="009571F1" w:rsidP="009571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50013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752C6672" w14:textId="77777777" w:rsidTr="00C15A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2B7A7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9571F1" w:rsidRPr="009571F1" w14:paraId="2D3452BF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30904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DC3FB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694E4CB2" w14:textId="77777777" w:rsidTr="00C15A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25B4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9571F1" w:rsidRPr="009571F1" w14:paraId="7F530FD0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12E7D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16BD9" w14:textId="77777777" w:rsidR="009571F1" w:rsidRPr="009571F1" w:rsidRDefault="009571F1" w:rsidP="00957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571F1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5D55D39B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2904E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6CFFD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571F1" w:rsidRPr="009571F1" w14:paraId="2A84968D" w14:textId="77777777" w:rsidTr="00C15A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3D214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571F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F21E7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9571F1" w:rsidRPr="009571F1" w14:paraId="2ED1FFE2" w14:textId="77777777" w:rsidTr="00C15A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6DD3" w14:textId="77777777" w:rsidR="009571F1" w:rsidRPr="009571F1" w:rsidRDefault="009571F1" w:rsidP="009571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571F1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9571F1" w:rsidRPr="009571F1" w14:paraId="29BE636A" w14:textId="77777777" w:rsidTr="00C15AA7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25ED6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571F1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D1A7F" w14:textId="77777777" w:rsidR="009571F1" w:rsidRPr="009571F1" w:rsidRDefault="009571F1" w:rsidP="009571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571F1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07F894EE" w14:textId="77777777" w:rsidR="009571F1" w:rsidRPr="009571F1" w:rsidRDefault="009571F1" w:rsidP="009571F1">
      <w:pPr>
        <w:spacing w:after="200" w:line="276" w:lineRule="auto"/>
        <w:rPr>
          <w:rFonts w:eastAsia="Times New Roman" w:cs="Times New Roman"/>
        </w:rPr>
      </w:pPr>
    </w:p>
    <w:p w14:paraId="0F8ED8A8" w14:textId="77777777"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8C31E" w14:textId="77777777" w:rsidR="00982D2D" w:rsidRDefault="00982D2D" w:rsidP="002775CB">
      <w:pPr>
        <w:spacing w:after="0" w:line="240" w:lineRule="auto"/>
      </w:pPr>
      <w:r>
        <w:separator/>
      </w:r>
    </w:p>
  </w:endnote>
  <w:endnote w:type="continuationSeparator" w:id="0">
    <w:p w14:paraId="70184C14" w14:textId="77777777" w:rsidR="00982D2D" w:rsidRDefault="00982D2D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AE69C" w14:textId="77777777" w:rsidR="00982D2D" w:rsidRDefault="00982D2D" w:rsidP="002775CB">
      <w:pPr>
        <w:spacing w:after="0" w:line="240" w:lineRule="auto"/>
      </w:pPr>
      <w:r>
        <w:separator/>
      </w:r>
    </w:p>
  </w:footnote>
  <w:footnote w:type="continuationSeparator" w:id="0">
    <w:p w14:paraId="7AD68512" w14:textId="77777777" w:rsidR="00982D2D" w:rsidRDefault="00982D2D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50F09"/>
    <w:rsid w:val="00097A6E"/>
    <w:rsid w:val="001752B5"/>
    <w:rsid w:val="001B016A"/>
    <w:rsid w:val="001F6ADE"/>
    <w:rsid w:val="002775CB"/>
    <w:rsid w:val="00324254"/>
    <w:rsid w:val="0034084C"/>
    <w:rsid w:val="00363F81"/>
    <w:rsid w:val="0041052E"/>
    <w:rsid w:val="004738FA"/>
    <w:rsid w:val="00586744"/>
    <w:rsid w:val="00592C2D"/>
    <w:rsid w:val="006D6296"/>
    <w:rsid w:val="0074192C"/>
    <w:rsid w:val="007F041C"/>
    <w:rsid w:val="00842EFB"/>
    <w:rsid w:val="009571F1"/>
    <w:rsid w:val="00982B09"/>
    <w:rsid w:val="00982D2D"/>
    <w:rsid w:val="009B2F22"/>
    <w:rsid w:val="00A4120E"/>
    <w:rsid w:val="00AC2287"/>
    <w:rsid w:val="00AF7AAA"/>
    <w:rsid w:val="00C03844"/>
    <w:rsid w:val="00CA741A"/>
    <w:rsid w:val="00CC0EE4"/>
    <w:rsid w:val="00D71FA3"/>
    <w:rsid w:val="00DB11EC"/>
    <w:rsid w:val="00E23150"/>
    <w:rsid w:val="00E66AFE"/>
    <w:rsid w:val="00ED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771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CA741A"/>
  </w:style>
  <w:style w:type="character" w:styleId="a9">
    <w:name w:val="annotation reference"/>
    <w:basedOn w:val="a0"/>
    <w:uiPriority w:val="99"/>
    <w:semiHidden/>
    <w:unhideWhenUsed/>
    <w:rsid w:val="00050F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50F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50F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50F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50F0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50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0F09"/>
    <w:rPr>
      <w:rFonts w:ascii="Segoe UI" w:hAnsi="Segoe UI" w:cs="Segoe UI"/>
      <w:sz w:val="18"/>
      <w:szCs w:val="18"/>
    </w:rPr>
  </w:style>
  <w:style w:type="table" w:customStyle="1" w:styleId="42">
    <w:name w:val="Сетка таблицы42"/>
    <w:basedOn w:val="a1"/>
    <w:next w:val="a3"/>
    <w:uiPriority w:val="39"/>
    <w:rsid w:val="009571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18</Pages>
  <Words>6231</Words>
  <Characters>35523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Блинов Артем Андреевич</cp:lastModifiedBy>
  <cp:revision>23</cp:revision>
  <dcterms:created xsi:type="dcterms:W3CDTF">2021-02-15T09:58:00Z</dcterms:created>
  <dcterms:modified xsi:type="dcterms:W3CDTF">2024-03-11T07:04:00Z</dcterms:modified>
</cp:coreProperties>
</file>